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97"/>
        <w:ind w:left="140" w:right="420" w:firstLine="0"/>
        <w:jc w:val="center"/>
        <w:rPr>
          <w:sz w:val="32"/>
        </w:rPr>
      </w:pPr>
      <w:r>
        <w:rPr>
          <w:spacing w:val="-5"/>
          <w:sz w:val="32"/>
        </w:rPr>
        <w:t>臺東縣海端鄉統計通報</w:t>
      </w:r>
    </w:p>
    <w:p>
      <w:pPr>
        <w:spacing w:before="47"/>
        <w:ind w:left="142" w:right="420" w:firstLine="0"/>
        <w:jc w:val="center"/>
        <w:rPr>
          <w:sz w:val="36"/>
        </w:rPr>
      </w:pPr>
      <w:r>
        <w:rPr>
          <w:spacing w:val="-1"/>
          <w:sz w:val="36"/>
        </w:rPr>
        <w:t>臺東縣海端鄉治山防災整體治理工程概況統計報告</w:t>
      </w:r>
    </w:p>
    <w:p>
      <w:pPr>
        <w:spacing w:after="0"/>
        <w:jc w:val="center"/>
        <w:rPr>
          <w:sz w:val="36"/>
        </w:rPr>
        <w:sectPr>
          <w:headerReference w:type="default" r:id="rId5"/>
          <w:footerReference w:type="default" r:id="rId6"/>
          <w:type w:val="continuous"/>
          <w:pgSz w:w="11910" w:h="16840"/>
          <w:pgMar w:header="852" w:footer="1239" w:top="1520" w:bottom="1420" w:left="1020" w:right="740"/>
          <w:pgNumType w:start="1"/>
        </w:sectPr>
      </w:pPr>
    </w:p>
    <w:p>
      <w:pPr>
        <w:pStyle w:val="Title"/>
        <w:rPr>
          <w:u w:val="none"/>
        </w:rPr>
      </w:pPr>
      <w:r>
        <w:rPr>
          <w:spacing w:val="-2"/>
          <w:u w:val="single"/>
        </w:rPr>
        <w:t>109</w:t>
      </w:r>
      <w:r>
        <w:rPr>
          <w:spacing w:val="-46"/>
          <w:u w:val="single"/>
        </w:rPr>
        <w:t> 年</w:t>
      </w:r>
      <w:r>
        <w:rPr>
          <w:spacing w:val="-2"/>
          <w:u w:val="single"/>
        </w:rPr>
        <w:t>~111</w:t>
      </w:r>
      <w:r>
        <w:rPr>
          <w:spacing w:val="-49"/>
          <w:u w:val="single"/>
        </w:rPr>
        <w:t> 年</w:t>
      </w:r>
    </w:p>
    <w:p>
      <w:pPr>
        <w:spacing w:before="101"/>
        <w:ind w:left="2444" w:right="0" w:firstLine="0"/>
        <w:jc w:val="left"/>
        <w:rPr>
          <w:sz w:val="20"/>
        </w:rPr>
      </w:pPr>
      <w:r>
        <w:rPr/>
        <w:br w:type="column"/>
      </w:r>
      <w:r>
        <w:rPr>
          <w:spacing w:val="-2"/>
          <w:sz w:val="20"/>
        </w:rPr>
        <w:t>113</w:t>
      </w:r>
      <w:r>
        <w:rPr>
          <w:spacing w:val="-33"/>
          <w:sz w:val="20"/>
        </w:rPr>
        <w:t> 年 </w:t>
      </w:r>
      <w:r>
        <w:rPr>
          <w:spacing w:val="-2"/>
          <w:sz w:val="20"/>
        </w:rPr>
        <w:t>3</w:t>
      </w:r>
      <w:r>
        <w:rPr>
          <w:spacing w:val="-17"/>
          <w:sz w:val="20"/>
        </w:rPr>
        <w:t> 月發布</w:t>
      </w:r>
    </w:p>
    <w:p>
      <w:pPr>
        <w:spacing w:after="0"/>
        <w:jc w:val="left"/>
        <w:rPr>
          <w:sz w:val="20"/>
        </w:rPr>
        <w:sectPr>
          <w:type w:val="continuous"/>
          <w:pgSz w:w="11910" w:h="16840"/>
          <w:pgMar w:header="852" w:footer="1239" w:top="1520" w:bottom="1420" w:left="1020" w:right="740"/>
          <w:cols w:num="2" w:equalWidth="0">
            <w:col w:w="6016" w:space="40"/>
            <w:col w:w="4094"/>
          </w:cols>
        </w:sectPr>
      </w:pPr>
    </w:p>
    <w:p>
      <w:pPr>
        <w:pStyle w:val="BodyText"/>
        <w:spacing w:before="18"/>
        <w:rPr>
          <w:sz w:val="20"/>
        </w:rPr>
      </w:pPr>
    </w:p>
    <w:p>
      <w:pPr>
        <w:pStyle w:val="BodyText"/>
        <w:spacing w:line="20" w:lineRule="exact"/>
        <w:ind w:left="114"/>
        <w:rPr>
          <w:sz w:val="2"/>
        </w:rPr>
      </w:pPr>
      <w:r>
        <w:rPr>
          <w:sz w:val="2"/>
        </w:rPr>
        <mc:AlternateContent>
          <mc:Choice Requires="wps">
            <w:drawing>
              <wp:inline distT="0" distB="0" distL="0" distR="0">
                <wp:extent cx="6154420" cy="22225"/>
                <wp:effectExtent l="19050" t="0" r="8254" b="6350"/>
                <wp:docPr id="3" name="Group 3"/>
                <wp:cNvGraphicFramePr>
                  <a:graphicFrameLocks/>
                </wp:cNvGraphicFramePr>
                <a:graphic>
                  <a:graphicData uri="http://schemas.microsoft.com/office/word/2010/wordprocessingGroup">
                    <wpg:wgp>
                      <wpg:cNvPr id="3" name="Group 3"/>
                      <wpg:cNvGrpSpPr/>
                      <wpg:grpSpPr>
                        <a:xfrm>
                          <a:off x="0" y="0"/>
                          <a:ext cx="6154420" cy="22225"/>
                          <a:chExt cx="6154420" cy="22225"/>
                        </a:xfrm>
                      </wpg:grpSpPr>
                      <wps:wsp>
                        <wps:cNvPr id="4" name="Graphic 4"/>
                        <wps:cNvSpPr/>
                        <wps:spPr>
                          <a:xfrm>
                            <a:off x="0" y="11112"/>
                            <a:ext cx="6154420" cy="1270"/>
                          </a:xfrm>
                          <a:custGeom>
                            <a:avLst/>
                            <a:gdLst/>
                            <a:ahLst/>
                            <a:cxnLst/>
                            <a:rect l="l" t="t" r="r" b="b"/>
                            <a:pathLst>
                              <a:path w="6154420" h="0">
                                <a:moveTo>
                                  <a:pt x="0" y="0"/>
                                </a:moveTo>
                                <a:lnTo>
                                  <a:pt x="6154420" y="0"/>
                                </a:lnTo>
                              </a:path>
                            </a:pathLst>
                          </a:custGeom>
                          <a:ln w="222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84.6pt;height:1.75pt;mso-position-horizontal-relative:char;mso-position-vertical-relative:line" id="docshapegroup2" coordorigin="0,0" coordsize="9692,35">
                <v:line style="position:absolute" from="0,18" to="9692,18" stroked="true" strokeweight="1.75pt" strokecolor="#000000">
                  <v:stroke dashstyle="solid"/>
                </v:line>
              </v:group>
            </w:pict>
          </mc:Fallback>
        </mc:AlternateContent>
      </w:r>
      <w:r>
        <w:rPr>
          <w:sz w:val="2"/>
        </w:rPr>
      </w:r>
    </w:p>
    <w:p>
      <w:pPr>
        <w:pStyle w:val="BodyText"/>
        <w:spacing w:before="209"/>
      </w:pPr>
    </w:p>
    <w:p>
      <w:pPr>
        <w:pStyle w:val="BodyText"/>
        <w:spacing w:line="475" w:lineRule="auto"/>
        <w:ind w:left="112" w:right="389" w:firstLine="708"/>
      </w:pPr>
      <w:r>
        <w:rPr>
          <w:spacing w:val="-2"/>
        </w:rPr>
        <w:t>臺灣位於環太平洋地震帶，且位於太平洋地區颱風侵襲主要路徑上，係屬於極易受到天然災害影響的區位，另臺東縣海端鄉位於中央山脈東部，爰缺少中央山脈發揮阻擋功能而減弱甚至抵消從東太平洋或南太平洋侵臺的颱風及熱</w:t>
      </w:r>
      <w:r>
        <w:rPr>
          <w:spacing w:val="-6"/>
        </w:rPr>
        <w:t>帶氣旋的作用，面對天災所帶來的考驗與挑戰，政府機關有義務採取積極措施，</w:t>
      </w:r>
      <w:r>
        <w:rPr>
          <w:spacing w:val="-2"/>
        </w:rPr>
        <w:t>加強水土保持環境及完備各項保育設施，並提升防災自主能力。</w:t>
      </w:r>
    </w:p>
    <w:p>
      <w:pPr>
        <w:pStyle w:val="Heading1"/>
        <w:rPr>
          <w:u w:val="none"/>
        </w:rPr>
      </w:pPr>
      <w:r>
        <w:rPr>
          <w:u w:val="none"/>
        </w:rPr>
        <w:t>一、</w:t>
      </w:r>
      <w:r>
        <w:rPr>
          <w:spacing w:val="-3"/>
          <w:u w:val="single"/>
        </w:rPr>
        <w:t>概況分析</w:t>
      </w:r>
    </w:p>
    <w:p>
      <w:pPr>
        <w:spacing w:before="243" w:after="56"/>
        <w:ind w:left="0" w:right="420" w:firstLine="0"/>
        <w:jc w:val="center"/>
        <w:rPr>
          <w:sz w:val="24"/>
        </w:rPr>
      </w:pPr>
      <w:r>
        <w:rPr>
          <w:spacing w:val="-30"/>
          <w:sz w:val="24"/>
        </w:rPr>
        <w:t>表 </w:t>
      </w:r>
      <w:r>
        <w:rPr>
          <w:sz w:val="24"/>
        </w:rPr>
        <w:t>1</w:t>
      </w:r>
      <w:r>
        <w:rPr>
          <w:spacing w:val="-1"/>
          <w:sz w:val="24"/>
        </w:rPr>
        <w:t>、近年海端鄉治山防災整體治理工程概況統計表</w:t>
      </w:r>
    </w:p>
    <w:tbl>
      <w:tblPr>
        <w:tblW w:w="0" w:type="auto"/>
        <w:jc w:val="left"/>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6"/>
        <w:gridCol w:w="1214"/>
        <w:gridCol w:w="1618"/>
        <w:gridCol w:w="1814"/>
        <w:gridCol w:w="2804"/>
        <w:gridCol w:w="1416"/>
      </w:tblGrid>
      <w:tr>
        <w:trPr>
          <w:trHeight w:val="450" w:hRule="atLeast"/>
        </w:trPr>
        <w:tc>
          <w:tcPr>
            <w:tcW w:w="636" w:type="dxa"/>
          </w:tcPr>
          <w:p>
            <w:pPr>
              <w:pStyle w:val="TableParagraph"/>
              <w:spacing w:before="94"/>
              <w:ind w:left="12"/>
              <w:jc w:val="center"/>
              <w:rPr>
                <w:sz w:val="22"/>
              </w:rPr>
            </w:pPr>
            <w:r>
              <w:rPr>
                <w:spacing w:val="-10"/>
                <w:sz w:val="22"/>
              </w:rPr>
              <w:t>年度</w:t>
            </w:r>
          </w:p>
        </w:tc>
        <w:tc>
          <w:tcPr>
            <w:tcW w:w="1214" w:type="dxa"/>
          </w:tcPr>
          <w:p>
            <w:pPr>
              <w:pStyle w:val="TableParagraph"/>
              <w:spacing w:before="102"/>
              <w:ind w:left="15" w:right="1"/>
              <w:jc w:val="center"/>
              <w:rPr>
                <w:sz w:val="20"/>
              </w:rPr>
            </w:pPr>
            <w:r>
              <w:rPr>
                <w:spacing w:val="-4"/>
                <w:sz w:val="20"/>
              </w:rPr>
              <w:t>護岸(公尺)</w:t>
            </w:r>
          </w:p>
        </w:tc>
        <w:tc>
          <w:tcPr>
            <w:tcW w:w="1618" w:type="dxa"/>
          </w:tcPr>
          <w:p>
            <w:pPr>
              <w:pStyle w:val="TableParagraph"/>
              <w:spacing w:before="102"/>
              <w:ind w:left="15"/>
              <w:jc w:val="center"/>
              <w:rPr>
                <w:sz w:val="20"/>
              </w:rPr>
            </w:pPr>
            <w:r>
              <w:rPr>
                <w:spacing w:val="-4"/>
                <w:sz w:val="20"/>
              </w:rPr>
              <w:t>蝕溝控制(公尺)</w:t>
            </w:r>
          </w:p>
        </w:tc>
        <w:tc>
          <w:tcPr>
            <w:tcW w:w="1814" w:type="dxa"/>
          </w:tcPr>
          <w:p>
            <w:pPr>
              <w:pStyle w:val="TableParagraph"/>
              <w:spacing w:before="102"/>
              <w:ind w:left="15"/>
              <w:jc w:val="center"/>
              <w:rPr>
                <w:sz w:val="20"/>
              </w:rPr>
            </w:pPr>
            <w:r>
              <w:rPr>
                <w:spacing w:val="-3"/>
                <w:sz w:val="20"/>
              </w:rPr>
              <w:t>崩塌地處理(公頃)</w:t>
            </w:r>
          </w:p>
        </w:tc>
        <w:tc>
          <w:tcPr>
            <w:tcW w:w="2804" w:type="dxa"/>
          </w:tcPr>
          <w:p>
            <w:pPr>
              <w:pStyle w:val="TableParagraph"/>
              <w:spacing w:before="102"/>
              <w:ind w:left="17"/>
              <w:jc w:val="center"/>
              <w:rPr>
                <w:sz w:val="20"/>
              </w:rPr>
            </w:pPr>
            <w:r>
              <w:rPr>
                <w:spacing w:val="-5"/>
                <w:sz w:val="20"/>
              </w:rPr>
              <w:t>其他</w:t>
            </w:r>
          </w:p>
        </w:tc>
        <w:tc>
          <w:tcPr>
            <w:tcW w:w="1416" w:type="dxa"/>
          </w:tcPr>
          <w:p>
            <w:pPr>
              <w:pStyle w:val="TableParagraph"/>
              <w:spacing w:before="102"/>
              <w:ind w:left="14"/>
              <w:jc w:val="center"/>
              <w:rPr>
                <w:sz w:val="20"/>
              </w:rPr>
            </w:pPr>
            <w:r>
              <w:rPr>
                <w:spacing w:val="-4"/>
                <w:sz w:val="20"/>
              </w:rPr>
              <w:t>合計經費(元)</w:t>
            </w:r>
          </w:p>
        </w:tc>
      </w:tr>
      <w:tr>
        <w:trPr>
          <w:trHeight w:val="448" w:hRule="atLeast"/>
        </w:trPr>
        <w:tc>
          <w:tcPr>
            <w:tcW w:w="636" w:type="dxa"/>
          </w:tcPr>
          <w:p>
            <w:pPr>
              <w:pStyle w:val="TableParagraph"/>
              <w:spacing w:before="94"/>
              <w:ind w:left="12"/>
              <w:jc w:val="center"/>
              <w:rPr>
                <w:sz w:val="22"/>
              </w:rPr>
            </w:pPr>
            <w:r>
              <w:rPr>
                <w:spacing w:val="-5"/>
                <w:sz w:val="22"/>
              </w:rPr>
              <w:t>109</w:t>
            </w:r>
          </w:p>
        </w:tc>
        <w:tc>
          <w:tcPr>
            <w:tcW w:w="1214" w:type="dxa"/>
          </w:tcPr>
          <w:p>
            <w:pPr>
              <w:pStyle w:val="TableParagraph"/>
              <w:spacing w:before="94"/>
              <w:ind w:left="15" w:right="5"/>
              <w:jc w:val="center"/>
              <w:rPr>
                <w:sz w:val="22"/>
              </w:rPr>
            </w:pPr>
            <w:r>
              <w:rPr>
                <w:spacing w:val="-10"/>
                <w:sz w:val="22"/>
              </w:rPr>
              <w:t>0</w:t>
            </w:r>
          </w:p>
        </w:tc>
        <w:tc>
          <w:tcPr>
            <w:tcW w:w="1618" w:type="dxa"/>
          </w:tcPr>
          <w:p>
            <w:pPr>
              <w:pStyle w:val="TableParagraph"/>
              <w:spacing w:before="94"/>
              <w:ind w:left="15" w:right="5"/>
              <w:jc w:val="center"/>
              <w:rPr>
                <w:sz w:val="22"/>
              </w:rPr>
            </w:pPr>
            <w:r>
              <w:rPr>
                <w:spacing w:val="-10"/>
                <w:sz w:val="22"/>
              </w:rPr>
              <w:t>0</w:t>
            </w:r>
          </w:p>
        </w:tc>
        <w:tc>
          <w:tcPr>
            <w:tcW w:w="1814" w:type="dxa"/>
          </w:tcPr>
          <w:p>
            <w:pPr>
              <w:pStyle w:val="TableParagraph"/>
              <w:spacing w:before="94"/>
              <w:ind w:left="15" w:right="3"/>
              <w:jc w:val="center"/>
              <w:rPr>
                <w:sz w:val="22"/>
              </w:rPr>
            </w:pPr>
            <w:r>
              <w:rPr>
                <w:spacing w:val="-10"/>
                <w:sz w:val="22"/>
              </w:rPr>
              <w:t>0</w:t>
            </w:r>
          </w:p>
        </w:tc>
        <w:tc>
          <w:tcPr>
            <w:tcW w:w="2804" w:type="dxa"/>
          </w:tcPr>
          <w:p>
            <w:pPr>
              <w:pStyle w:val="TableParagraph"/>
              <w:spacing w:before="94"/>
              <w:ind w:left="17" w:right="3"/>
              <w:jc w:val="center"/>
              <w:rPr>
                <w:sz w:val="22"/>
              </w:rPr>
            </w:pPr>
            <w:r>
              <w:rPr>
                <w:spacing w:val="-2"/>
                <w:sz w:val="22"/>
              </w:rPr>
              <w:t>產業道路：525</w:t>
            </w:r>
            <w:r>
              <w:rPr>
                <w:spacing w:val="-20"/>
                <w:sz w:val="22"/>
              </w:rPr>
              <w:t> 公尺</w:t>
            </w:r>
          </w:p>
        </w:tc>
        <w:tc>
          <w:tcPr>
            <w:tcW w:w="1416" w:type="dxa"/>
          </w:tcPr>
          <w:p>
            <w:pPr>
              <w:pStyle w:val="TableParagraph"/>
              <w:spacing w:before="94"/>
              <w:ind w:left="14" w:right="2"/>
              <w:jc w:val="center"/>
              <w:rPr>
                <w:sz w:val="22"/>
              </w:rPr>
            </w:pPr>
            <w:r>
              <w:rPr>
                <w:spacing w:val="-2"/>
                <w:sz w:val="22"/>
              </w:rPr>
              <w:t>3,357,000</w:t>
            </w:r>
          </w:p>
        </w:tc>
      </w:tr>
      <w:tr>
        <w:trPr>
          <w:trHeight w:val="1350" w:hRule="atLeast"/>
        </w:trPr>
        <w:tc>
          <w:tcPr>
            <w:tcW w:w="636" w:type="dxa"/>
          </w:tcPr>
          <w:p>
            <w:pPr>
              <w:pStyle w:val="TableParagraph"/>
              <w:spacing w:before="259"/>
              <w:rPr>
                <w:sz w:val="22"/>
              </w:rPr>
            </w:pPr>
          </w:p>
          <w:p>
            <w:pPr>
              <w:pStyle w:val="TableParagraph"/>
              <w:ind w:left="12" w:right="4"/>
              <w:jc w:val="center"/>
              <w:rPr>
                <w:sz w:val="22"/>
              </w:rPr>
            </w:pPr>
            <w:r>
              <w:rPr>
                <w:spacing w:val="-5"/>
                <w:sz w:val="22"/>
              </w:rPr>
              <w:t>110</w:t>
            </w:r>
          </w:p>
        </w:tc>
        <w:tc>
          <w:tcPr>
            <w:tcW w:w="1214" w:type="dxa"/>
          </w:tcPr>
          <w:p>
            <w:pPr>
              <w:pStyle w:val="TableParagraph"/>
              <w:spacing w:before="259"/>
              <w:rPr>
                <w:sz w:val="22"/>
              </w:rPr>
            </w:pPr>
          </w:p>
          <w:p>
            <w:pPr>
              <w:pStyle w:val="TableParagraph"/>
              <w:ind w:left="15"/>
              <w:jc w:val="center"/>
              <w:rPr>
                <w:sz w:val="22"/>
              </w:rPr>
            </w:pPr>
            <w:r>
              <w:rPr>
                <w:spacing w:val="-4"/>
                <w:sz w:val="22"/>
              </w:rPr>
              <w:t>60.5</w:t>
            </w:r>
          </w:p>
        </w:tc>
        <w:tc>
          <w:tcPr>
            <w:tcW w:w="1618" w:type="dxa"/>
          </w:tcPr>
          <w:p>
            <w:pPr>
              <w:pStyle w:val="TableParagraph"/>
              <w:spacing w:before="259"/>
              <w:rPr>
                <w:sz w:val="22"/>
              </w:rPr>
            </w:pPr>
          </w:p>
          <w:p>
            <w:pPr>
              <w:pStyle w:val="TableParagraph"/>
              <w:ind w:left="15" w:right="5"/>
              <w:jc w:val="center"/>
              <w:rPr>
                <w:sz w:val="22"/>
              </w:rPr>
            </w:pPr>
            <w:r>
              <w:rPr>
                <w:spacing w:val="-10"/>
                <w:sz w:val="22"/>
              </w:rPr>
              <w:t>0</w:t>
            </w:r>
          </w:p>
        </w:tc>
        <w:tc>
          <w:tcPr>
            <w:tcW w:w="1814" w:type="dxa"/>
          </w:tcPr>
          <w:p>
            <w:pPr>
              <w:pStyle w:val="TableParagraph"/>
              <w:spacing w:before="259"/>
              <w:rPr>
                <w:sz w:val="22"/>
              </w:rPr>
            </w:pPr>
          </w:p>
          <w:p>
            <w:pPr>
              <w:pStyle w:val="TableParagraph"/>
              <w:ind w:left="15" w:right="3"/>
              <w:jc w:val="center"/>
              <w:rPr>
                <w:sz w:val="22"/>
              </w:rPr>
            </w:pPr>
            <w:r>
              <w:rPr>
                <w:spacing w:val="-10"/>
                <w:sz w:val="22"/>
              </w:rPr>
              <w:t>0</w:t>
            </w:r>
          </w:p>
        </w:tc>
        <w:tc>
          <w:tcPr>
            <w:tcW w:w="2804" w:type="dxa"/>
          </w:tcPr>
          <w:p>
            <w:pPr>
              <w:pStyle w:val="TableParagraph"/>
              <w:numPr>
                <w:ilvl w:val="0"/>
                <w:numId w:val="1"/>
              </w:numPr>
              <w:tabs>
                <w:tab w:pos="576" w:val="left" w:leader="none"/>
              </w:tabs>
              <w:spacing w:line="240" w:lineRule="auto" w:before="96" w:after="0"/>
              <w:ind w:left="576" w:right="0" w:hanging="220"/>
              <w:jc w:val="left"/>
              <w:rPr>
                <w:sz w:val="22"/>
              </w:rPr>
            </w:pPr>
            <w:r>
              <w:rPr>
                <w:spacing w:val="-10"/>
                <w:sz w:val="22"/>
              </w:rPr>
              <w:t>新建消能條共 </w:t>
            </w:r>
            <w:r>
              <w:rPr>
                <w:spacing w:val="-2"/>
                <w:sz w:val="22"/>
              </w:rPr>
              <w:t>14</w:t>
            </w:r>
            <w:r>
              <w:rPr>
                <w:spacing w:val="-29"/>
                <w:sz w:val="22"/>
              </w:rPr>
              <w:t> 條</w:t>
            </w:r>
          </w:p>
          <w:p>
            <w:pPr>
              <w:pStyle w:val="TableParagraph"/>
              <w:numPr>
                <w:ilvl w:val="0"/>
                <w:numId w:val="1"/>
              </w:numPr>
              <w:tabs>
                <w:tab w:pos="742" w:val="left" w:leader="none"/>
              </w:tabs>
              <w:spacing w:line="240" w:lineRule="auto" w:before="163" w:after="0"/>
              <w:ind w:left="742" w:right="0" w:hanging="220"/>
              <w:jc w:val="left"/>
              <w:rPr>
                <w:sz w:val="22"/>
              </w:rPr>
            </w:pPr>
            <w:r>
              <w:rPr>
                <w:spacing w:val="-11"/>
                <w:sz w:val="22"/>
              </w:rPr>
              <w:t>新建沉砂池 </w:t>
            </w:r>
            <w:r>
              <w:rPr>
                <w:spacing w:val="-2"/>
                <w:sz w:val="22"/>
              </w:rPr>
              <w:t>2</w:t>
            </w:r>
            <w:r>
              <w:rPr>
                <w:spacing w:val="-32"/>
                <w:sz w:val="22"/>
              </w:rPr>
              <w:t> 座</w:t>
            </w:r>
          </w:p>
          <w:p>
            <w:pPr>
              <w:pStyle w:val="TableParagraph"/>
              <w:numPr>
                <w:ilvl w:val="0"/>
                <w:numId w:val="1"/>
              </w:numPr>
              <w:tabs>
                <w:tab w:pos="633" w:val="left" w:leader="none"/>
              </w:tabs>
              <w:spacing w:line="240" w:lineRule="auto" w:before="165" w:after="0"/>
              <w:ind w:left="633" w:right="0" w:hanging="330"/>
              <w:jc w:val="left"/>
              <w:rPr>
                <w:sz w:val="22"/>
              </w:rPr>
            </w:pPr>
            <w:r>
              <w:rPr>
                <w:spacing w:val="-2"/>
                <w:sz w:val="22"/>
              </w:rPr>
              <w:t>新設排水溝，L=23M</w:t>
            </w:r>
          </w:p>
        </w:tc>
        <w:tc>
          <w:tcPr>
            <w:tcW w:w="1416" w:type="dxa"/>
          </w:tcPr>
          <w:p>
            <w:pPr>
              <w:pStyle w:val="TableParagraph"/>
              <w:spacing w:before="259"/>
              <w:rPr>
                <w:sz w:val="22"/>
              </w:rPr>
            </w:pPr>
          </w:p>
          <w:p>
            <w:pPr>
              <w:pStyle w:val="TableParagraph"/>
              <w:ind w:left="14" w:right="2"/>
              <w:jc w:val="center"/>
              <w:rPr>
                <w:sz w:val="22"/>
              </w:rPr>
            </w:pPr>
            <w:r>
              <w:rPr>
                <w:spacing w:val="-2"/>
                <w:sz w:val="22"/>
              </w:rPr>
              <w:t>3,200,000</w:t>
            </w:r>
          </w:p>
        </w:tc>
      </w:tr>
      <w:tr>
        <w:trPr>
          <w:trHeight w:val="1799" w:hRule="atLeast"/>
        </w:trPr>
        <w:tc>
          <w:tcPr>
            <w:tcW w:w="636" w:type="dxa"/>
          </w:tcPr>
          <w:p>
            <w:pPr>
              <w:pStyle w:val="TableParagraph"/>
              <w:rPr>
                <w:sz w:val="22"/>
              </w:rPr>
            </w:pPr>
          </w:p>
          <w:p>
            <w:pPr>
              <w:pStyle w:val="TableParagraph"/>
              <w:spacing w:before="199"/>
              <w:rPr>
                <w:sz w:val="22"/>
              </w:rPr>
            </w:pPr>
          </w:p>
          <w:p>
            <w:pPr>
              <w:pStyle w:val="TableParagraph"/>
              <w:ind w:left="12" w:right="4"/>
              <w:jc w:val="center"/>
              <w:rPr>
                <w:sz w:val="22"/>
              </w:rPr>
            </w:pPr>
            <w:r>
              <w:rPr>
                <w:spacing w:val="-5"/>
                <w:sz w:val="22"/>
              </w:rPr>
              <w:t>111</w:t>
            </w:r>
          </w:p>
        </w:tc>
        <w:tc>
          <w:tcPr>
            <w:tcW w:w="1214" w:type="dxa"/>
          </w:tcPr>
          <w:p>
            <w:pPr>
              <w:pStyle w:val="TableParagraph"/>
              <w:rPr>
                <w:sz w:val="22"/>
              </w:rPr>
            </w:pPr>
          </w:p>
          <w:p>
            <w:pPr>
              <w:pStyle w:val="TableParagraph"/>
              <w:spacing w:before="199"/>
              <w:rPr>
                <w:sz w:val="22"/>
              </w:rPr>
            </w:pPr>
          </w:p>
          <w:p>
            <w:pPr>
              <w:pStyle w:val="TableParagraph"/>
              <w:ind w:left="15" w:right="5"/>
              <w:jc w:val="center"/>
              <w:rPr>
                <w:sz w:val="22"/>
              </w:rPr>
            </w:pPr>
            <w:r>
              <w:rPr>
                <w:spacing w:val="-10"/>
                <w:sz w:val="22"/>
              </w:rPr>
              <w:t>0</w:t>
            </w:r>
          </w:p>
        </w:tc>
        <w:tc>
          <w:tcPr>
            <w:tcW w:w="1618" w:type="dxa"/>
          </w:tcPr>
          <w:p>
            <w:pPr>
              <w:pStyle w:val="TableParagraph"/>
              <w:rPr>
                <w:sz w:val="22"/>
              </w:rPr>
            </w:pPr>
          </w:p>
          <w:p>
            <w:pPr>
              <w:pStyle w:val="TableParagraph"/>
              <w:spacing w:before="199"/>
              <w:rPr>
                <w:sz w:val="22"/>
              </w:rPr>
            </w:pPr>
          </w:p>
          <w:p>
            <w:pPr>
              <w:pStyle w:val="TableParagraph"/>
              <w:ind w:left="15" w:right="5"/>
              <w:jc w:val="center"/>
              <w:rPr>
                <w:sz w:val="22"/>
              </w:rPr>
            </w:pPr>
            <w:r>
              <w:rPr>
                <w:spacing w:val="-10"/>
                <w:sz w:val="22"/>
              </w:rPr>
              <w:t>0</w:t>
            </w:r>
          </w:p>
        </w:tc>
        <w:tc>
          <w:tcPr>
            <w:tcW w:w="1814" w:type="dxa"/>
          </w:tcPr>
          <w:p>
            <w:pPr>
              <w:pStyle w:val="TableParagraph"/>
              <w:rPr>
                <w:sz w:val="22"/>
              </w:rPr>
            </w:pPr>
          </w:p>
          <w:p>
            <w:pPr>
              <w:pStyle w:val="TableParagraph"/>
              <w:spacing w:before="199"/>
              <w:rPr>
                <w:sz w:val="22"/>
              </w:rPr>
            </w:pPr>
          </w:p>
          <w:p>
            <w:pPr>
              <w:pStyle w:val="TableParagraph"/>
              <w:ind w:left="15" w:right="3"/>
              <w:jc w:val="center"/>
              <w:rPr>
                <w:sz w:val="22"/>
              </w:rPr>
            </w:pPr>
            <w:r>
              <w:rPr>
                <w:spacing w:val="-10"/>
                <w:sz w:val="22"/>
              </w:rPr>
              <w:t>0</w:t>
            </w:r>
          </w:p>
        </w:tc>
        <w:tc>
          <w:tcPr>
            <w:tcW w:w="2804" w:type="dxa"/>
          </w:tcPr>
          <w:p>
            <w:pPr>
              <w:pStyle w:val="TableParagraph"/>
              <w:numPr>
                <w:ilvl w:val="0"/>
                <w:numId w:val="2"/>
              </w:numPr>
              <w:tabs>
                <w:tab w:pos="331" w:val="left" w:leader="none"/>
              </w:tabs>
              <w:spacing w:line="240" w:lineRule="auto" w:before="94" w:after="0"/>
              <w:ind w:left="331" w:right="0" w:hanging="220"/>
              <w:jc w:val="left"/>
              <w:rPr>
                <w:sz w:val="22"/>
              </w:rPr>
            </w:pPr>
            <w:r>
              <w:rPr>
                <w:spacing w:val="-2"/>
                <w:sz w:val="22"/>
              </w:rPr>
              <w:t>截水溝 </w:t>
            </w:r>
            <w:r>
              <w:rPr>
                <w:sz w:val="22"/>
              </w:rPr>
              <w:t>PC</w:t>
            </w:r>
            <w:r>
              <w:rPr>
                <w:spacing w:val="-23"/>
                <w:sz w:val="22"/>
              </w:rPr>
              <w:t> 面修復 </w:t>
            </w:r>
            <w:r>
              <w:rPr>
                <w:sz w:val="22"/>
              </w:rPr>
              <w:t>6</w:t>
            </w:r>
            <w:r>
              <w:rPr>
                <w:spacing w:val="-23"/>
                <w:sz w:val="22"/>
              </w:rPr>
              <w:t> 公尺</w:t>
            </w:r>
          </w:p>
          <w:p>
            <w:pPr>
              <w:pStyle w:val="TableParagraph"/>
              <w:numPr>
                <w:ilvl w:val="0"/>
                <w:numId w:val="2"/>
              </w:numPr>
              <w:tabs>
                <w:tab w:pos="715" w:val="left" w:leader="none"/>
              </w:tabs>
              <w:spacing w:line="240" w:lineRule="auto" w:before="165" w:after="0"/>
              <w:ind w:left="715" w:right="0" w:hanging="220"/>
              <w:jc w:val="left"/>
              <w:rPr>
                <w:sz w:val="22"/>
              </w:rPr>
            </w:pPr>
            <w:r>
              <w:rPr>
                <w:spacing w:val="-1"/>
                <w:sz w:val="22"/>
              </w:rPr>
              <w:t>新設消能塊 </w:t>
            </w:r>
            <w:r>
              <w:rPr>
                <w:sz w:val="22"/>
              </w:rPr>
              <w:t>7</w:t>
            </w:r>
            <w:r>
              <w:rPr>
                <w:spacing w:val="-34"/>
                <w:sz w:val="22"/>
              </w:rPr>
              <w:t> 座</w:t>
            </w:r>
          </w:p>
          <w:p>
            <w:pPr>
              <w:pStyle w:val="TableParagraph"/>
              <w:numPr>
                <w:ilvl w:val="0"/>
                <w:numId w:val="2"/>
              </w:numPr>
              <w:tabs>
                <w:tab w:pos="331" w:val="left" w:leader="none"/>
              </w:tabs>
              <w:spacing w:line="240" w:lineRule="auto" w:before="163" w:after="0"/>
              <w:ind w:left="331" w:right="0" w:hanging="220"/>
              <w:jc w:val="left"/>
              <w:rPr>
                <w:sz w:val="22"/>
              </w:rPr>
            </w:pPr>
            <w:r>
              <w:rPr>
                <w:spacing w:val="-9"/>
                <w:sz w:val="22"/>
              </w:rPr>
              <w:t>排水溝加固共 </w:t>
            </w:r>
            <w:r>
              <w:rPr>
                <w:sz w:val="22"/>
              </w:rPr>
              <w:t>93.4</w:t>
            </w:r>
            <w:r>
              <w:rPr>
                <w:spacing w:val="-6"/>
                <w:sz w:val="22"/>
              </w:rPr>
              <w:t> 公尺</w:t>
            </w:r>
          </w:p>
          <w:p>
            <w:pPr>
              <w:pStyle w:val="TableParagraph"/>
              <w:numPr>
                <w:ilvl w:val="0"/>
                <w:numId w:val="2"/>
              </w:numPr>
              <w:tabs>
                <w:tab w:pos="605" w:val="left" w:leader="none"/>
              </w:tabs>
              <w:spacing w:line="240" w:lineRule="auto" w:before="165" w:after="0"/>
              <w:ind w:left="605" w:right="0" w:hanging="220"/>
              <w:jc w:val="left"/>
              <w:rPr>
                <w:sz w:val="22"/>
              </w:rPr>
            </w:pPr>
            <w:r>
              <w:rPr>
                <w:spacing w:val="-1"/>
                <w:sz w:val="22"/>
              </w:rPr>
              <w:t>新設截水溝 </w:t>
            </w:r>
            <w:r>
              <w:rPr>
                <w:sz w:val="22"/>
              </w:rPr>
              <w:t>3</w:t>
            </w:r>
            <w:r>
              <w:rPr>
                <w:spacing w:val="-23"/>
                <w:sz w:val="22"/>
              </w:rPr>
              <w:t> 公尺</w:t>
            </w:r>
          </w:p>
        </w:tc>
        <w:tc>
          <w:tcPr>
            <w:tcW w:w="1416" w:type="dxa"/>
          </w:tcPr>
          <w:p>
            <w:pPr>
              <w:pStyle w:val="TableParagraph"/>
              <w:rPr>
                <w:sz w:val="22"/>
              </w:rPr>
            </w:pPr>
          </w:p>
          <w:p>
            <w:pPr>
              <w:pStyle w:val="TableParagraph"/>
              <w:spacing w:before="199"/>
              <w:rPr>
                <w:sz w:val="22"/>
              </w:rPr>
            </w:pPr>
          </w:p>
          <w:p>
            <w:pPr>
              <w:pStyle w:val="TableParagraph"/>
              <w:ind w:left="14" w:right="2"/>
              <w:jc w:val="center"/>
              <w:rPr>
                <w:sz w:val="22"/>
              </w:rPr>
            </w:pPr>
            <w:r>
              <w:rPr>
                <w:spacing w:val="-2"/>
                <w:sz w:val="22"/>
              </w:rPr>
              <w:t>1,300,000</w:t>
            </w:r>
          </w:p>
        </w:tc>
      </w:tr>
    </w:tbl>
    <w:p>
      <w:pPr>
        <w:spacing w:before="38"/>
        <w:ind w:left="593" w:right="0" w:firstLine="0"/>
        <w:jc w:val="left"/>
        <w:rPr>
          <w:sz w:val="24"/>
        </w:rPr>
      </w:pPr>
      <w:r>
        <w:rPr>
          <w:spacing w:val="-3"/>
          <w:sz w:val="24"/>
        </w:rPr>
        <w:t>資料來源：海端鄉公所財建課。</w:t>
      </w:r>
    </w:p>
    <w:p>
      <w:pPr>
        <w:spacing w:after="0"/>
        <w:jc w:val="left"/>
        <w:rPr>
          <w:sz w:val="24"/>
        </w:rPr>
        <w:sectPr>
          <w:type w:val="continuous"/>
          <w:pgSz w:w="11910" w:h="16840"/>
          <w:pgMar w:header="852" w:footer="1239" w:top="1520" w:bottom="1420" w:left="1020" w:right="740"/>
        </w:sectPr>
      </w:pPr>
    </w:p>
    <w:p>
      <w:pPr>
        <w:spacing w:before="66"/>
        <w:ind w:left="0" w:right="420" w:firstLine="0"/>
        <w:jc w:val="center"/>
        <w:rPr>
          <w:sz w:val="24"/>
        </w:rPr>
      </w:pPr>
      <w:r>
        <w:rPr>
          <w:spacing w:val="-30"/>
          <w:sz w:val="24"/>
        </w:rPr>
        <w:t>圖 </w:t>
      </w:r>
      <w:r>
        <w:rPr>
          <w:sz w:val="24"/>
        </w:rPr>
        <w:t>1</w:t>
      </w:r>
      <w:r>
        <w:rPr>
          <w:spacing w:val="-1"/>
          <w:sz w:val="24"/>
        </w:rPr>
        <w:t>、近年海端鄉治山防災概況比較表</w:t>
      </w:r>
    </w:p>
    <w:p>
      <w:pPr>
        <w:pStyle w:val="BodyText"/>
        <w:spacing w:before="29"/>
        <w:rPr>
          <w:sz w:val="20"/>
        </w:rPr>
      </w:pPr>
      <w:r>
        <w:rPr/>
        <w:drawing>
          <wp:anchor distT="0" distB="0" distL="0" distR="0" allowOverlap="1" layoutInCell="1" locked="0" behindDoc="1" simplePos="0" relativeHeight="487588352">
            <wp:simplePos x="0" y="0"/>
            <wp:positionH relativeFrom="page">
              <wp:posOffset>1563624</wp:posOffset>
            </wp:positionH>
            <wp:positionV relativeFrom="paragraph">
              <wp:posOffset>198874</wp:posOffset>
            </wp:positionV>
            <wp:extent cx="4351020" cy="2156459"/>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4351020" cy="2156459"/>
                    </a:xfrm>
                    <a:prstGeom prst="rect">
                      <a:avLst/>
                    </a:prstGeom>
                  </pic:spPr>
                </pic:pic>
              </a:graphicData>
            </a:graphic>
          </wp:anchor>
        </w:drawing>
      </w:r>
    </w:p>
    <w:p>
      <w:pPr>
        <w:pStyle w:val="BodyText"/>
        <w:spacing w:before="30"/>
        <w:rPr>
          <w:sz w:val="24"/>
        </w:rPr>
      </w:pPr>
    </w:p>
    <w:p>
      <w:pPr>
        <w:spacing w:before="0"/>
        <w:ind w:left="593" w:right="0" w:firstLine="0"/>
        <w:jc w:val="left"/>
        <w:rPr>
          <w:sz w:val="24"/>
        </w:rPr>
      </w:pPr>
      <w:r>
        <w:rPr>
          <w:spacing w:val="-3"/>
          <w:sz w:val="24"/>
        </w:rPr>
        <w:t>資料來源：海端鄉公所財建課。</w:t>
      </w:r>
    </w:p>
    <w:p>
      <w:pPr>
        <w:pStyle w:val="BodyText"/>
        <w:spacing w:before="134"/>
        <w:rPr>
          <w:sz w:val="24"/>
        </w:rPr>
      </w:pPr>
    </w:p>
    <w:p>
      <w:pPr>
        <w:pStyle w:val="Heading1"/>
        <w:spacing w:line="240" w:lineRule="auto"/>
        <w:rPr>
          <w:u w:val="none"/>
        </w:rPr>
      </w:pPr>
      <w:r>
        <w:rPr>
          <w:spacing w:val="-2"/>
          <w:u w:val="none"/>
        </w:rPr>
        <w:t>二、</w:t>
      </w:r>
      <w:r>
        <w:rPr>
          <w:spacing w:val="-3"/>
          <w:u w:val="single"/>
        </w:rPr>
        <w:t>近年海端鄉治山防災情形</w:t>
      </w:r>
    </w:p>
    <w:p>
      <w:pPr>
        <w:pStyle w:val="ListParagraph"/>
        <w:numPr>
          <w:ilvl w:val="0"/>
          <w:numId w:val="3"/>
        </w:numPr>
        <w:tabs>
          <w:tab w:pos="818" w:val="left" w:leader="none"/>
          <w:tab w:pos="869" w:val="left" w:leader="none"/>
        </w:tabs>
        <w:spacing w:line="475" w:lineRule="auto" w:before="356" w:after="0"/>
        <w:ind w:left="818" w:right="320" w:hanging="228"/>
        <w:jc w:val="both"/>
        <w:rPr>
          <w:sz w:val="28"/>
        </w:rPr>
      </w:pPr>
      <w:r>
        <w:rPr>
          <w:spacing w:val="-3"/>
          <w:sz w:val="28"/>
        </w:rPr>
        <w:t>本所近年治山防災平均經費約新臺幣 </w:t>
      </w:r>
      <w:r>
        <w:rPr>
          <w:sz w:val="28"/>
        </w:rPr>
        <w:t>300</w:t>
      </w:r>
      <w:r>
        <w:rPr>
          <w:spacing w:val="-15"/>
          <w:sz w:val="28"/>
        </w:rPr>
        <w:t> 萬，惟 </w:t>
      </w:r>
      <w:r>
        <w:rPr>
          <w:sz w:val="28"/>
        </w:rPr>
        <w:t>111</w:t>
      </w:r>
      <w:r>
        <w:rPr>
          <w:spacing w:val="-10"/>
          <w:sz w:val="28"/>
        </w:rPr>
        <w:t> 年度本鄉遭逢 </w:t>
      </w:r>
      <w:r>
        <w:rPr>
          <w:sz w:val="28"/>
        </w:rPr>
        <w:t>0918</w:t>
      </w:r>
      <w:r>
        <w:rPr>
          <w:spacing w:val="-2"/>
          <w:sz w:val="28"/>
        </w:rPr>
        <w:t>地震，爰本所提報之災害復建工程與治山防災施作項目及位置部分重疊，導致治山防災經費較為減少情形。</w:t>
      </w:r>
    </w:p>
    <w:p>
      <w:pPr>
        <w:pStyle w:val="ListParagraph"/>
        <w:numPr>
          <w:ilvl w:val="0"/>
          <w:numId w:val="3"/>
        </w:numPr>
        <w:tabs>
          <w:tab w:pos="818" w:val="left" w:leader="none"/>
          <w:tab w:pos="869" w:val="left" w:leader="none"/>
        </w:tabs>
        <w:spacing w:line="475" w:lineRule="auto" w:before="0" w:after="0"/>
        <w:ind w:left="818" w:right="388" w:hanging="228"/>
        <w:jc w:val="both"/>
        <w:rPr>
          <w:sz w:val="28"/>
        </w:rPr>
      </w:pPr>
      <w:r>
        <w:rPr>
          <w:spacing w:val="-11"/>
          <w:sz w:val="28"/>
        </w:rPr>
        <w:t>經查表 </w:t>
      </w:r>
      <w:r>
        <w:rPr>
          <w:spacing w:val="-4"/>
          <w:sz w:val="28"/>
        </w:rPr>
        <w:t>1</w:t>
      </w:r>
      <w:r>
        <w:rPr>
          <w:spacing w:val="-19"/>
          <w:sz w:val="28"/>
        </w:rPr>
        <w:t> 及圖 </w:t>
      </w:r>
      <w:r>
        <w:rPr>
          <w:spacing w:val="-4"/>
          <w:sz w:val="28"/>
        </w:rPr>
        <w:t>1，本所辦理治山防災項目大致為護欄、產業道路、截水溝</w:t>
      </w:r>
      <w:r>
        <w:rPr>
          <w:spacing w:val="-2"/>
          <w:sz w:val="28"/>
        </w:rPr>
        <w:t>及沉砂池，另蝕溝控制及崩塌地處理則較無施作，係因蝕溝控制及崩塌地處理工程範圍較為廣大且經費龐大，經常涉及兩個行政轄區，爰本所另外提報計畫由農田水利署統籌辦理。</w:t>
      </w:r>
    </w:p>
    <w:p>
      <w:pPr>
        <w:pStyle w:val="Heading1"/>
        <w:rPr>
          <w:u w:val="none"/>
        </w:rPr>
      </w:pPr>
      <w:r>
        <w:rPr>
          <w:u w:val="none"/>
        </w:rPr>
        <w:t>三、</w:t>
      </w:r>
      <w:r>
        <w:rPr>
          <w:spacing w:val="-5"/>
          <w:u w:val="single"/>
        </w:rPr>
        <w:t>結語</w:t>
      </w:r>
    </w:p>
    <w:p>
      <w:pPr>
        <w:pStyle w:val="BodyText"/>
        <w:spacing w:line="475" w:lineRule="auto" w:before="355"/>
        <w:ind w:left="1152" w:right="389" w:hanging="560"/>
        <w:jc w:val="both"/>
      </w:pPr>
      <w:r>
        <w:rPr/>
        <w:t>(一)透過相關治山防災手段進行野溪土砂災害防治及崩塌地處理等保育治</w:t>
      </w:r>
      <w:r>
        <w:rPr>
          <w:spacing w:val="-4"/>
        </w:rPr>
        <w:t>理工作，主要係要在天災來臨前將透過下鄉會勘及鄉民提報本鄉轄內潛</w:t>
      </w:r>
      <w:r>
        <w:rPr>
          <w:spacing w:val="-5"/>
        </w:rPr>
        <w:t>勢危險區域，進行防砂治水、崩塌地處理及環境保育等有關工程，達到</w:t>
      </w:r>
    </w:p>
    <w:p>
      <w:pPr>
        <w:spacing w:after="0" w:line="475" w:lineRule="auto"/>
        <w:jc w:val="both"/>
        <w:sectPr>
          <w:pgSz w:w="11910" w:h="16840"/>
          <w:pgMar w:header="852" w:footer="1239" w:top="1520" w:bottom="1420" w:left="1020" w:right="740"/>
        </w:sectPr>
      </w:pPr>
    </w:p>
    <w:p>
      <w:pPr>
        <w:pStyle w:val="BodyText"/>
        <w:spacing w:before="178"/>
        <w:ind w:left="1152"/>
      </w:pPr>
      <w:r>
        <w:rPr>
          <w:spacing w:val="-3"/>
        </w:rPr>
        <w:t>提前降低天災影響的效益。</w:t>
      </w:r>
    </w:p>
    <w:p>
      <w:pPr>
        <w:pStyle w:val="BodyText"/>
        <w:spacing w:line="475" w:lineRule="auto" w:before="356"/>
        <w:ind w:left="1152" w:right="393" w:hanging="560"/>
      </w:pPr>
      <w:r>
        <w:rPr>
          <w:spacing w:val="-4"/>
        </w:rPr>
        <w:t>(二)本鄉也積極配合政府之政策，推動治山防災工程之養護、管理，並於災</w:t>
      </w:r>
      <w:r>
        <w:rPr>
          <w:spacing w:val="-2"/>
        </w:rPr>
        <w:t>害發生時緊急搶修。</w:t>
      </w:r>
    </w:p>
    <w:p>
      <w:pPr>
        <w:pStyle w:val="BodyText"/>
        <w:spacing w:line="475" w:lineRule="auto"/>
        <w:ind w:left="1152" w:right="112" w:hanging="560"/>
      </w:pPr>
      <w:r>
        <w:rPr>
          <w:spacing w:val="-2"/>
        </w:rPr>
        <w:t>(三)本鄉針對有坡面沖蝕之虞地區，辦理區域性水土保持處理及利用生態蛇</w:t>
      </w:r>
      <w:r>
        <w:rPr>
          <w:spacing w:val="-2"/>
        </w:rPr>
        <w:t> </w:t>
      </w:r>
      <w:r>
        <w:rPr>
          <w:spacing w:val="-4"/>
        </w:rPr>
        <w:t>籠工法填充現地石頭，減少建材搬運及避免人工構造物危害環境等情形，</w:t>
      </w:r>
      <w:r>
        <w:rPr>
          <w:spacing w:val="-2"/>
        </w:rPr>
        <w:t>提倡永續生態。</w:t>
      </w:r>
    </w:p>
    <w:sectPr>
      <w:pgSz w:w="11910" w:h="16840"/>
      <w:pgMar w:header="852" w:footer="1239" w:top="1520" w:bottom="1420" w:left="10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標楷體">
    <w:altName w:val="標楷體"/>
    <w:charset w:val="88"/>
    <w:family w:val="script"/>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0288">
              <wp:simplePos x="0" y="0"/>
              <wp:positionH relativeFrom="page">
                <wp:posOffset>3710051</wp:posOffset>
              </wp:positionH>
              <wp:positionV relativeFrom="page">
                <wp:posOffset>9766121</wp:posOffset>
              </wp:positionV>
              <wp:extent cx="15303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3035" cy="152400"/>
                      </a:xfrm>
                      <a:prstGeom prst="rect">
                        <a:avLst/>
                      </a:prstGeom>
                    </wps:spPr>
                    <wps:txbx>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130005pt;margin-top:768.985962pt;width:12.05pt;height:12pt;mso-position-horizontal-relative:page;mso-position-vertical-relative:page;z-index:-15816192" type="#_x0000_t202" id="docshape1" filled="false" stroked="false">
              <v:textbox inset="0,0,0,0">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9776">
          <wp:simplePos x="0" y="0"/>
          <wp:positionH relativeFrom="page">
            <wp:posOffset>6359336</wp:posOffset>
          </wp:positionH>
          <wp:positionV relativeFrom="page">
            <wp:posOffset>541019</wp:posOffset>
          </wp:positionV>
          <wp:extent cx="463986" cy="41261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63986" cy="41261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18" w:hanging="283"/>
        <w:jc w:val="left"/>
      </w:pPr>
      <w:rPr>
        <w:rFonts w:hint="default" w:ascii="標楷體" w:hAnsi="標楷體" w:eastAsia="標楷體" w:cs="標楷體"/>
        <w:b w:val="0"/>
        <w:bCs w:val="0"/>
        <w:i w:val="0"/>
        <w:iCs w:val="0"/>
        <w:spacing w:val="-2"/>
        <w:w w:val="100"/>
        <w:sz w:val="26"/>
        <w:szCs w:val="26"/>
        <w:lang w:val="en-US" w:eastAsia="zh-TW" w:bidi="ar-SA"/>
      </w:rPr>
    </w:lvl>
    <w:lvl w:ilvl="1">
      <w:start w:val="0"/>
      <w:numFmt w:val="bullet"/>
      <w:lvlText w:val="•"/>
      <w:lvlJc w:val="left"/>
      <w:pPr>
        <w:ind w:left="1752" w:hanging="283"/>
      </w:pPr>
      <w:rPr>
        <w:rFonts w:hint="default"/>
        <w:lang w:val="en-US" w:eastAsia="zh-TW" w:bidi="ar-SA"/>
      </w:rPr>
    </w:lvl>
    <w:lvl w:ilvl="2">
      <w:start w:val="0"/>
      <w:numFmt w:val="bullet"/>
      <w:lvlText w:val="•"/>
      <w:lvlJc w:val="left"/>
      <w:pPr>
        <w:ind w:left="2685" w:hanging="283"/>
      </w:pPr>
      <w:rPr>
        <w:rFonts w:hint="default"/>
        <w:lang w:val="en-US" w:eastAsia="zh-TW" w:bidi="ar-SA"/>
      </w:rPr>
    </w:lvl>
    <w:lvl w:ilvl="3">
      <w:start w:val="0"/>
      <w:numFmt w:val="bullet"/>
      <w:lvlText w:val="•"/>
      <w:lvlJc w:val="left"/>
      <w:pPr>
        <w:ind w:left="3617" w:hanging="283"/>
      </w:pPr>
      <w:rPr>
        <w:rFonts w:hint="default"/>
        <w:lang w:val="en-US" w:eastAsia="zh-TW" w:bidi="ar-SA"/>
      </w:rPr>
    </w:lvl>
    <w:lvl w:ilvl="4">
      <w:start w:val="0"/>
      <w:numFmt w:val="bullet"/>
      <w:lvlText w:val="•"/>
      <w:lvlJc w:val="left"/>
      <w:pPr>
        <w:ind w:left="4550" w:hanging="283"/>
      </w:pPr>
      <w:rPr>
        <w:rFonts w:hint="default"/>
        <w:lang w:val="en-US" w:eastAsia="zh-TW" w:bidi="ar-SA"/>
      </w:rPr>
    </w:lvl>
    <w:lvl w:ilvl="5">
      <w:start w:val="0"/>
      <w:numFmt w:val="bullet"/>
      <w:lvlText w:val="•"/>
      <w:lvlJc w:val="left"/>
      <w:pPr>
        <w:ind w:left="5483" w:hanging="283"/>
      </w:pPr>
      <w:rPr>
        <w:rFonts w:hint="default"/>
        <w:lang w:val="en-US" w:eastAsia="zh-TW" w:bidi="ar-SA"/>
      </w:rPr>
    </w:lvl>
    <w:lvl w:ilvl="6">
      <w:start w:val="0"/>
      <w:numFmt w:val="bullet"/>
      <w:lvlText w:val="•"/>
      <w:lvlJc w:val="left"/>
      <w:pPr>
        <w:ind w:left="6415" w:hanging="283"/>
      </w:pPr>
      <w:rPr>
        <w:rFonts w:hint="default"/>
        <w:lang w:val="en-US" w:eastAsia="zh-TW" w:bidi="ar-SA"/>
      </w:rPr>
    </w:lvl>
    <w:lvl w:ilvl="7">
      <w:start w:val="0"/>
      <w:numFmt w:val="bullet"/>
      <w:lvlText w:val="•"/>
      <w:lvlJc w:val="left"/>
      <w:pPr>
        <w:ind w:left="7348" w:hanging="283"/>
      </w:pPr>
      <w:rPr>
        <w:rFonts w:hint="default"/>
        <w:lang w:val="en-US" w:eastAsia="zh-TW" w:bidi="ar-SA"/>
      </w:rPr>
    </w:lvl>
    <w:lvl w:ilvl="8">
      <w:start w:val="0"/>
      <w:numFmt w:val="bullet"/>
      <w:lvlText w:val="•"/>
      <w:lvlJc w:val="left"/>
      <w:pPr>
        <w:ind w:left="8281" w:hanging="283"/>
      </w:pPr>
      <w:rPr>
        <w:rFonts w:hint="default"/>
        <w:lang w:val="en-US" w:eastAsia="zh-TW" w:bidi="ar-SA"/>
      </w:rPr>
    </w:lvl>
  </w:abstractNum>
  <w:abstractNum w:abstractNumId="1">
    <w:multiLevelType w:val="hybridMultilevel"/>
    <w:lvl w:ilvl="0">
      <w:start w:val="1"/>
      <w:numFmt w:val="decimal"/>
      <w:lvlText w:val="%1."/>
      <w:lvlJc w:val="left"/>
      <w:pPr>
        <w:ind w:left="333" w:hanging="222"/>
        <w:jc w:val="right"/>
      </w:pPr>
      <w:rPr>
        <w:rFonts w:hint="default" w:ascii="標楷體" w:hAnsi="標楷體" w:eastAsia="標楷體" w:cs="標楷體"/>
        <w:b w:val="0"/>
        <w:bCs w:val="0"/>
        <w:i w:val="0"/>
        <w:iCs w:val="0"/>
        <w:spacing w:val="0"/>
        <w:w w:val="100"/>
        <w:sz w:val="20"/>
        <w:szCs w:val="20"/>
        <w:lang w:val="en-US" w:eastAsia="zh-TW" w:bidi="ar-SA"/>
      </w:rPr>
    </w:lvl>
    <w:lvl w:ilvl="1">
      <w:start w:val="0"/>
      <w:numFmt w:val="bullet"/>
      <w:lvlText w:val="•"/>
      <w:lvlJc w:val="left"/>
      <w:pPr>
        <w:ind w:left="585" w:hanging="222"/>
      </w:pPr>
      <w:rPr>
        <w:rFonts w:hint="default"/>
        <w:lang w:val="en-US" w:eastAsia="zh-TW" w:bidi="ar-SA"/>
      </w:rPr>
    </w:lvl>
    <w:lvl w:ilvl="2">
      <w:start w:val="0"/>
      <w:numFmt w:val="bullet"/>
      <w:lvlText w:val="•"/>
      <w:lvlJc w:val="left"/>
      <w:pPr>
        <w:ind w:left="830" w:hanging="222"/>
      </w:pPr>
      <w:rPr>
        <w:rFonts w:hint="default"/>
        <w:lang w:val="en-US" w:eastAsia="zh-TW" w:bidi="ar-SA"/>
      </w:rPr>
    </w:lvl>
    <w:lvl w:ilvl="3">
      <w:start w:val="0"/>
      <w:numFmt w:val="bullet"/>
      <w:lvlText w:val="•"/>
      <w:lvlJc w:val="left"/>
      <w:pPr>
        <w:ind w:left="1076" w:hanging="222"/>
      </w:pPr>
      <w:rPr>
        <w:rFonts w:hint="default"/>
        <w:lang w:val="en-US" w:eastAsia="zh-TW" w:bidi="ar-SA"/>
      </w:rPr>
    </w:lvl>
    <w:lvl w:ilvl="4">
      <w:start w:val="0"/>
      <w:numFmt w:val="bullet"/>
      <w:lvlText w:val="•"/>
      <w:lvlJc w:val="left"/>
      <w:pPr>
        <w:ind w:left="1321" w:hanging="222"/>
      </w:pPr>
      <w:rPr>
        <w:rFonts w:hint="default"/>
        <w:lang w:val="en-US" w:eastAsia="zh-TW" w:bidi="ar-SA"/>
      </w:rPr>
    </w:lvl>
    <w:lvl w:ilvl="5">
      <w:start w:val="0"/>
      <w:numFmt w:val="bullet"/>
      <w:lvlText w:val="•"/>
      <w:lvlJc w:val="left"/>
      <w:pPr>
        <w:ind w:left="1567" w:hanging="222"/>
      </w:pPr>
      <w:rPr>
        <w:rFonts w:hint="default"/>
        <w:lang w:val="en-US" w:eastAsia="zh-TW" w:bidi="ar-SA"/>
      </w:rPr>
    </w:lvl>
    <w:lvl w:ilvl="6">
      <w:start w:val="0"/>
      <w:numFmt w:val="bullet"/>
      <w:lvlText w:val="•"/>
      <w:lvlJc w:val="left"/>
      <w:pPr>
        <w:ind w:left="1812" w:hanging="222"/>
      </w:pPr>
      <w:rPr>
        <w:rFonts w:hint="default"/>
        <w:lang w:val="en-US" w:eastAsia="zh-TW" w:bidi="ar-SA"/>
      </w:rPr>
    </w:lvl>
    <w:lvl w:ilvl="7">
      <w:start w:val="0"/>
      <w:numFmt w:val="bullet"/>
      <w:lvlText w:val="•"/>
      <w:lvlJc w:val="left"/>
      <w:pPr>
        <w:ind w:left="2057" w:hanging="222"/>
      </w:pPr>
      <w:rPr>
        <w:rFonts w:hint="default"/>
        <w:lang w:val="en-US" w:eastAsia="zh-TW" w:bidi="ar-SA"/>
      </w:rPr>
    </w:lvl>
    <w:lvl w:ilvl="8">
      <w:start w:val="0"/>
      <w:numFmt w:val="bullet"/>
      <w:lvlText w:val="•"/>
      <w:lvlJc w:val="left"/>
      <w:pPr>
        <w:ind w:left="2303" w:hanging="222"/>
      </w:pPr>
      <w:rPr>
        <w:rFonts w:hint="default"/>
        <w:lang w:val="en-US" w:eastAsia="zh-TW" w:bidi="ar-SA"/>
      </w:rPr>
    </w:lvl>
  </w:abstractNum>
  <w:abstractNum w:abstractNumId="0">
    <w:multiLevelType w:val="hybridMultilevel"/>
    <w:lvl w:ilvl="0">
      <w:start w:val="1"/>
      <w:numFmt w:val="decimal"/>
      <w:lvlText w:val="%1."/>
      <w:lvlJc w:val="left"/>
      <w:pPr>
        <w:ind w:left="578" w:hanging="222"/>
        <w:jc w:val="right"/>
      </w:pPr>
      <w:rPr>
        <w:rFonts w:hint="default" w:ascii="標楷體" w:hAnsi="標楷體" w:eastAsia="標楷體" w:cs="標楷體"/>
        <w:b w:val="0"/>
        <w:bCs w:val="0"/>
        <w:i w:val="0"/>
        <w:iCs w:val="0"/>
        <w:spacing w:val="0"/>
        <w:w w:val="100"/>
        <w:sz w:val="20"/>
        <w:szCs w:val="20"/>
        <w:lang w:val="en-US" w:eastAsia="zh-TW" w:bidi="ar-SA"/>
      </w:rPr>
    </w:lvl>
    <w:lvl w:ilvl="1">
      <w:start w:val="0"/>
      <w:numFmt w:val="bullet"/>
      <w:lvlText w:val="•"/>
      <w:lvlJc w:val="left"/>
      <w:pPr>
        <w:ind w:left="801" w:hanging="222"/>
      </w:pPr>
      <w:rPr>
        <w:rFonts w:hint="default"/>
        <w:lang w:val="en-US" w:eastAsia="zh-TW" w:bidi="ar-SA"/>
      </w:rPr>
    </w:lvl>
    <w:lvl w:ilvl="2">
      <w:start w:val="0"/>
      <w:numFmt w:val="bullet"/>
      <w:lvlText w:val="•"/>
      <w:lvlJc w:val="left"/>
      <w:pPr>
        <w:ind w:left="1022" w:hanging="222"/>
      </w:pPr>
      <w:rPr>
        <w:rFonts w:hint="default"/>
        <w:lang w:val="en-US" w:eastAsia="zh-TW" w:bidi="ar-SA"/>
      </w:rPr>
    </w:lvl>
    <w:lvl w:ilvl="3">
      <w:start w:val="0"/>
      <w:numFmt w:val="bullet"/>
      <w:lvlText w:val="•"/>
      <w:lvlJc w:val="left"/>
      <w:pPr>
        <w:ind w:left="1244" w:hanging="222"/>
      </w:pPr>
      <w:rPr>
        <w:rFonts w:hint="default"/>
        <w:lang w:val="en-US" w:eastAsia="zh-TW" w:bidi="ar-SA"/>
      </w:rPr>
    </w:lvl>
    <w:lvl w:ilvl="4">
      <w:start w:val="0"/>
      <w:numFmt w:val="bullet"/>
      <w:lvlText w:val="•"/>
      <w:lvlJc w:val="left"/>
      <w:pPr>
        <w:ind w:left="1465" w:hanging="222"/>
      </w:pPr>
      <w:rPr>
        <w:rFonts w:hint="default"/>
        <w:lang w:val="en-US" w:eastAsia="zh-TW" w:bidi="ar-SA"/>
      </w:rPr>
    </w:lvl>
    <w:lvl w:ilvl="5">
      <w:start w:val="0"/>
      <w:numFmt w:val="bullet"/>
      <w:lvlText w:val="•"/>
      <w:lvlJc w:val="left"/>
      <w:pPr>
        <w:ind w:left="1687" w:hanging="222"/>
      </w:pPr>
      <w:rPr>
        <w:rFonts w:hint="default"/>
        <w:lang w:val="en-US" w:eastAsia="zh-TW" w:bidi="ar-SA"/>
      </w:rPr>
    </w:lvl>
    <w:lvl w:ilvl="6">
      <w:start w:val="0"/>
      <w:numFmt w:val="bullet"/>
      <w:lvlText w:val="•"/>
      <w:lvlJc w:val="left"/>
      <w:pPr>
        <w:ind w:left="1908" w:hanging="222"/>
      </w:pPr>
      <w:rPr>
        <w:rFonts w:hint="default"/>
        <w:lang w:val="en-US" w:eastAsia="zh-TW" w:bidi="ar-SA"/>
      </w:rPr>
    </w:lvl>
    <w:lvl w:ilvl="7">
      <w:start w:val="0"/>
      <w:numFmt w:val="bullet"/>
      <w:lvlText w:val="•"/>
      <w:lvlJc w:val="left"/>
      <w:pPr>
        <w:ind w:left="2129" w:hanging="222"/>
      </w:pPr>
      <w:rPr>
        <w:rFonts w:hint="default"/>
        <w:lang w:val="en-US" w:eastAsia="zh-TW" w:bidi="ar-SA"/>
      </w:rPr>
    </w:lvl>
    <w:lvl w:ilvl="8">
      <w:start w:val="0"/>
      <w:numFmt w:val="bullet"/>
      <w:lvlText w:val="•"/>
      <w:lvlJc w:val="left"/>
      <w:pPr>
        <w:ind w:left="2351" w:hanging="222"/>
      </w:pPr>
      <w:rPr>
        <w:rFonts w:hint="default"/>
        <w:lang w:val="en-US" w:eastAsia="zh-TW"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rPr>
      <w:rFonts w:ascii="標楷體" w:hAnsi="標楷體" w:eastAsia="標楷體" w:cs="標楷體"/>
      <w:sz w:val="28"/>
      <w:szCs w:val="28"/>
      <w:lang w:val="en-US" w:eastAsia="zh-TW" w:bidi="ar-SA"/>
    </w:rPr>
  </w:style>
  <w:style w:styleId="Heading1" w:type="paragraph">
    <w:name w:val="Heading 1"/>
    <w:basedOn w:val="Normal"/>
    <w:uiPriority w:val="1"/>
    <w:qFormat/>
    <w:pPr>
      <w:spacing w:line="361" w:lineRule="exact"/>
      <w:ind w:left="112"/>
      <w:outlineLvl w:val="1"/>
    </w:pPr>
    <w:rPr>
      <w:rFonts w:ascii="標楷體" w:hAnsi="標楷體" w:eastAsia="標楷體" w:cs="標楷體"/>
      <w:b/>
      <w:bCs/>
      <w:sz w:val="28"/>
      <w:szCs w:val="28"/>
      <w:u w:val="single" w:color="000000"/>
      <w:lang w:val="en-US" w:eastAsia="zh-TW" w:bidi="ar-SA"/>
    </w:rPr>
  </w:style>
  <w:style w:styleId="Title" w:type="paragraph">
    <w:name w:val="Title"/>
    <w:basedOn w:val="Normal"/>
    <w:uiPriority w:val="1"/>
    <w:qFormat/>
    <w:pPr>
      <w:spacing w:before="31"/>
      <w:ind w:left="3850"/>
    </w:pPr>
    <w:rPr>
      <w:rFonts w:ascii="標楷體" w:hAnsi="標楷體" w:eastAsia="標楷體" w:cs="標楷體"/>
      <w:b/>
      <w:bCs/>
      <w:sz w:val="36"/>
      <w:szCs w:val="36"/>
      <w:u w:val="single" w:color="000000"/>
      <w:lang w:val="en-US" w:eastAsia="zh-TW" w:bidi="ar-SA"/>
    </w:rPr>
  </w:style>
  <w:style w:styleId="ListParagraph" w:type="paragraph">
    <w:name w:val="List Paragraph"/>
    <w:basedOn w:val="Normal"/>
    <w:uiPriority w:val="1"/>
    <w:qFormat/>
    <w:pPr>
      <w:ind w:left="818" w:right="320" w:hanging="228"/>
      <w:jc w:val="both"/>
    </w:pPr>
    <w:rPr>
      <w:rFonts w:ascii="標楷體" w:hAnsi="標楷體" w:eastAsia="標楷體" w:cs="標楷體"/>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吳仁雄</dc:creator>
  <dcterms:created xsi:type="dcterms:W3CDTF">2024-04-12T02:21:33Z</dcterms:created>
  <dcterms:modified xsi:type="dcterms:W3CDTF">2024-04-12T02:21:33Z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2024-03-17T00:00:00Z</vt:filetime>
  </property>
  <property fmtid="{D5CDD505-2E9C-101B-9397-08002B2CF9AE}" pid="3" name="Creator">
    <vt:lpwstr>Microsoft® Word 2013</vt:lpwstr>
  </property>
  <property fmtid="{D5CDD505-2E9C-101B-9397-08002B2CF9AE}" pid="4" name="LastSaved">
    <vt:filetime>2024-04-12T00:00:00Z</vt:filetime>
  </property>
  <property fmtid="{D5CDD505-2E9C-101B-9397-08002B2CF9AE}" pid="5" name="Producer">
    <vt:lpwstr>Microsoft® Word 2013</vt:lpwstr>
  </property>
</Properties>
</file>